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left"/>
        <w:bidi/>
      </w:pPr>
    </w:p>
    <w:p>
      <w:pPr>
        <w:spacing w:after="120" w:before="0"/>
        <w:jc w:val="left"/>
        <w:bidi/>
      </w:pPr>
    </w:p>
    <w:p>
      <w:pPr>
        <w:jc w:val="center"/>
        <w:bidi/>
      </w:pPr>
      <w:r>
        <w:rPr>
          <w:rFonts w:ascii="Arial" w:hAnsi="Arial"/>
          <w:b/>
          <w:color w:val="1E2761"/>
          <w:sz w:val="56"/>
          <w:rtl/>
          <w:cs/>
        </w:rPr>
        <w:t>קורס הכנה לבחינת רישוי מתווכי מקרקעין</w:t>
      </w:r>
    </w:p>
    <w:p>
      <w:pPr>
        <w:spacing w:after="600"/>
        <w:jc w:val="center"/>
        <w:bidi/>
      </w:pPr>
      <w:r>
        <w:rPr>
          <w:rFonts w:ascii="Arial" w:hAnsi="Arial"/>
          <w:b/>
          <w:color w:val="9C7A12"/>
          <w:sz w:val="32"/>
          <w:rtl/>
          <w:cs/>
        </w:rPr>
        <w:t>סילבוס קורס מלא - 10 מודולים</w:t>
      </w:r>
    </w:p>
    <w:p>
      <w:pPr>
        <w:spacing w:after="40" w:before="0"/>
        <w:jc w:val="center"/>
        <w:bidi/>
      </w:pPr>
      <w:r>
        <w:rPr>
          <w:rFonts w:ascii="Arial" w:hAnsi="Arial"/>
          <w:b w:val="0"/>
          <w:i w:val="0"/>
          <w:color w:val="5B637B"/>
          <w:sz w:val="22"/>
          <w:rtl/>
          <w:cs/>
        </w:rPr>
        <w:t>מסמך זה הוא חומר לימוד עצמאי ופרטי, שנועד לסייע בהכנה לבחינה הרשמית</w:t>
      </w:r>
    </w:p>
    <w:p>
      <w:pPr>
        <w:spacing w:after="40" w:before="0"/>
        <w:jc w:val="center"/>
        <w:bidi/>
      </w:pPr>
      <w:r>
        <w:rPr>
          <w:rFonts w:ascii="Arial" w:hAnsi="Arial"/>
          <w:b w:val="0"/>
          <w:i w:val="0"/>
          <w:color w:val="5B637B"/>
          <w:sz w:val="22"/>
          <w:rtl/>
          <w:cs/>
        </w:rPr>
        <w:t>מטעם רשם המתווכים במקרקעין (משרד המשפטים), בהתאם לתקנות המתווכים</w:t>
      </w:r>
    </w:p>
    <w:p>
      <w:pPr>
        <w:spacing w:after="40" w:before="0"/>
        <w:jc w:val="center"/>
        <w:bidi/>
      </w:pPr>
      <w:r>
        <w:rPr>
          <w:rFonts w:ascii="Arial" w:hAnsi="Arial"/>
          <w:b w:val="0"/>
          <w:i w:val="0"/>
          <w:color w:val="5B637B"/>
          <w:sz w:val="22"/>
          <w:rtl/>
          <w:cs/>
        </w:rPr>
        <w:t>במקרקעין (נושאי בחינה), תשנ"ז-1997.</w:t>
      </w:r>
    </w:p>
    <w:p>
      <w:pPr>
        <w:spacing w:after="40" w:before="0"/>
        <w:jc w:val="center"/>
        <w:bidi/>
      </w:pPr>
      <w:r>
        <w:rPr>
          <w:rFonts w:ascii="Arial" w:hAnsi="Arial"/>
          <w:b w:val="0"/>
          <w:i w:val="0"/>
          <w:color w:val="5B637B"/>
          <w:sz w:val="22"/>
          <w:rtl/>
          <w:cs/>
        </w:rPr>
        <w:t>המסמך אינו מסמך רשמי ואינו מחליף את חומר הלימוד, התקנות והנהלים</w:t>
      </w:r>
    </w:p>
    <w:p>
      <w:pPr>
        <w:spacing w:after="40" w:before="0"/>
        <w:jc w:val="center"/>
        <w:bidi/>
      </w:pPr>
      <w:r>
        <w:rPr>
          <w:rFonts w:ascii="Arial" w:hAnsi="Arial"/>
          <w:b w:val="0"/>
          <w:i w:val="0"/>
          <w:color w:val="5B637B"/>
          <w:sz w:val="22"/>
          <w:rtl/>
          <w:cs/>
        </w:rPr>
        <w:t>הרשמיים המתפרסמים באתר gov.il - אליהם מפנה הנספח בסוף מסמך זה.</w:t>
      </w:r>
    </w:p>
    <w:p>
      <w:pPr>
        <w:spacing w:after="120" w:before="0"/>
        <w:jc w:val="left"/>
        <w:bidi/>
      </w:pPr>
    </w:p>
    <w:p>
      <w:pPr>
        <w:spacing w:after="120" w:before="0"/>
        <w:jc w:val="center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תאריך הפקה: יוני 2026</w:t>
      </w:r>
    </w:p>
    <w:p>
      <w:r>
        <w:br w:type="page"/>
      </w:r>
    </w:p>
    <w:p>
      <w:pPr>
        <w:spacing w:before="280" w:after="160"/>
        <w:jc w:val="left"/>
        <w:keepNext/>
        <w:bidi/>
        <w:pBdr>
          <w:bottom w:val="single" w:sz="8" w:space="4" w:color="1E2761"/>
        </w:pBdr>
      </w:pPr>
      <w:r>
        <w:rPr>
          <w:rFonts w:ascii="Arial" w:hAnsi="Arial"/>
          <w:b/>
          <w:color w:val="1E2761"/>
          <w:sz w:val="44"/>
          <w:rtl/>
          <w:cs/>
        </w:rPr>
        <w:t>1. על הקורס</w:t>
      </w:r>
    </w:p>
    <w:p>
      <w:pPr>
        <w:spacing w:after="80" w:before="0"/>
        <w:jc w:val="left"/>
        <w:bidi/>
      </w:pPr>
      <w:r>
        <w:rPr>
          <w:rFonts w:ascii="Arial" w:hAnsi="Arial"/>
          <w:b/>
          <w:i w:val="0"/>
          <w:color w:val="1E2761"/>
          <w:sz w:val="26"/>
          <w:rtl/>
          <w:cs/>
        </w:rPr>
        <w:t>מבנה הקורס</w:t>
      </w:r>
    </w:p>
    <w:p>
      <w:pPr>
        <w:spacing w:after="120" w:before="0"/>
        <w:jc w:val="left"/>
        <w:bidi/>
      </w:pPr>
      <w:r>
        <w:rPr>
          <w:rFonts w:ascii="Arial" w:hAnsi="Arial"/>
          <w:b w:val="0"/>
          <w:i w:val="0"/>
          <w:color w:val="262B40"/>
          <w:sz w:val="22"/>
          <w:rtl/>
          <w:cs/>
        </w:rPr>
        <w:t>הקורס בנוי מ-10 מודולים עצמאיים, המסודרים בסדר לימוד מומלץ מהבסיס המשפטי הכללי ועד לדינים הספציפיים לתיווך במקרקעין. כל מודול מלווה במצגת ייעודית (קובץ PowerPoint) הכוללת מטרות למידה, שקפי תוכן, מילון מונחים, ובמודול האחרון - קישורים רשמיים לבחינה.</w:t>
      </w:r>
    </w:p>
    <w:p>
      <w:pPr>
        <w:spacing w:after="80" w:before="200"/>
        <w:jc w:val="left"/>
        <w:bidi/>
      </w:pPr>
      <w:r>
        <w:rPr>
          <w:rFonts w:ascii="Arial" w:hAnsi="Arial"/>
          <w:b/>
          <w:i w:val="0"/>
          <w:color w:val="1E2761"/>
          <w:sz w:val="26"/>
          <w:rtl/>
          <w:cs/>
        </w:rPr>
        <w:t>שיטת לימוד מומלצת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עבור על כל מודול לפי הסדר - כל מודול מניח יסודות הנדרשים להבנת המודולים הבאים.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השתמש במילון המונחים בסוף כל מצגת לחזרה מהירה לפני הבחינה.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השלם לאחר כל מודול את מבחני התרגול המקוריים הרלוונטיים (ראו מסמך נפרד).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לקראת הבחינה - עברו על תקנות נושאי הבחינה ועל מבחנים רשמיים משנים קודמות (ראו נספח קישורים).</w:t>
      </w:r>
    </w:p>
    <w:p>
      <w:pPr>
        <w:spacing w:after="80" w:before="200"/>
        <w:jc w:val="left"/>
        <w:bidi/>
      </w:pPr>
      <w:r>
        <w:rPr>
          <w:rFonts w:ascii="Arial" w:hAnsi="Arial"/>
          <w:b/>
          <w:i w:val="0"/>
          <w:color w:val="1E2761"/>
          <w:sz w:val="26"/>
          <w:rtl/>
          <w:cs/>
        </w:rPr>
        <w:t>משך לימוד משוער</w:t>
      </w:r>
    </w:p>
    <w:p>
      <w:pPr>
        <w:spacing w:after="120" w:before="0"/>
        <w:jc w:val="left"/>
        <w:bidi/>
      </w:pPr>
      <w:r>
        <w:rPr>
          <w:rFonts w:ascii="Arial" w:hAnsi="Arial"/>
          <w:b w:val="0"/>
          <w:i w:val="0"/>
          <w:color w:val="262B40"/>
          <w:sz w:val="22"/>
          <w:rtl/>
          <w:cs/>
        </w:rPr>
        <w:t>זמן הלימוד העצמי המשוער לכל הקורס הוא כ-27 שעות (ראו פירוט שעות לפי מודול בטבלה בעמוד הבא). ההערכה היא לצורך תכנון אישי בלבד ואינה מהווה דרישה רשמית.</w:t>
      </w:r>
    </w:p>
    <w:p>
      <w:pPr>
        <w:spacing w:after="80" w:before="200"/>
        <w:jc w:val="left"/>
        <w:bidi/>
      </w:pPr>
      <w:r>
        <w:rPr>
          <w:rFonts w:ascii="Arial" w:hAnsi="Arial"/>
          <w:b/>
          <w:i w:val="0"/>
          <w:color w:val="1E2761"/>
          <w:sz w:val="26"/>
          <w:rtl/>
          <w:cs/>
        </w:rPr>
        <w:t>מבנה הבחינה הרשמית</w:t>
      </w:r>
    </w:p>
    <w:p>
      <w:pPr>
        <w:spacing w:after="120" w:before="0"/>
        <w:jc w:val="left"/>
        <w:bidi/>
      </w:pPr>
      <w:r>
        <w:rPr>
          <w:rFonts w:ascii="Arial" w:hAnsi="Arial"/>
          <w:b w:val="0"/>
          <w:i w:val="0"/>
          <w:color w:val="262B40"/>
          <w:sz w:val="22"/>
          <w:rtl/>
          <w:cs/>
        </w:rPr>
        <w:t>מבנה הבחינה, משכה, מספר השאלות וציון העובר נקבעים ומתעדכנים על ידי האגף לרישוי וייעוץ (רשם המתווכים במקרקעין) במשרד המשפטים. לפרטים מחייבים ועדכניים - לרבות מועדי בחינות, אופן ההרשמה ותשלום האגרה - יש לפנות לעמודים הרשמיים המפורטים בנספח א' בסוף מסמך זה.</w:t>
      </w:r>
    </w:p>
    <w:p>
      <w:r>
        <w:br w:type="page"/>
      </w:r>
    </w:p>
    <w:p>
      <w:pPr>
        <w:spacing w:before="280" w:after="160"/>
        <w:jc w:val="left"/>
        <w:keepNext/>
        <w:bidi/>
        <w:pBdr>
          <w:bottom w:val="single" w:sz="8" w:space="4" w:color="1E2761"/>
        </w:pBdr>
      </w:pPr>
      <w:r>
        <w:rPr>
          <w:rFonts w:ascii="Arial" w:hAnsi="Arial"/>
          <w:b/>
          <w:color w:val="1E2761"/>
          <w:sz w:val="44"/>
          <w:rtl/>
          <w:cs/>
        </w:rPr>
        <w:t>2. לוח מודולים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353"/>
        <w:gridCol w:w="2353"/>
        <w:gridCol w:w="2353"/>
        <w:gridCol w:w="2353"/>
      </w:tblGrid>
      <w:tr>
        <w:tc>
          <w:tcPr>
            <w:tcW w:type="dxa" w:w="907"/>
            <w:shd w:val="clear" w:fill="1E27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/>
                <w:color w:val="FFFFFF"/>
                <w:sz w:val="21"/>
                <w:rtl/>
                <w:cs/>
              </w:rPr>
              <w:t>מודול</w:t>
            </w:r>
          </w:p>
        </w:tc>
        <w:tc>
          <w:tcPr>
            <w:tcW w:type="dxa" w:w="3685"/>
            <w:shd w:val="clear" w:fill="1E27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/>
                <w:color w:val="FFFFFF"/>
                <w:sz w:val="21"/>
                <w:rtl/>
                <w:cs/>
              </w:rPr>
              <w:t>כותרת</w:t>
            </w:r>
          </w:p>
        </w:tc>
        <w:tc>
          <w:tcPr>
            <w:tcW w:type="dxa" w:w="3402"/>
            <w:shd w:val="clear" w:fill="1E27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/>
                <w:color w:val="FFFFFF"/>
                <w:sz w:val="21"/>
                <w:rtl/>
                <w:cs/>
              </w:rPr>
              <w:t>מקור חוקי מרכזי</w:t>
            </w:r>
          </w:p>
        </w:tc>
        <w:tc>
          <w:tcPr>
            <w:tcW w:type="dxa" w:w="1361"/>
            <w:shd w:val="clear" w:fill="1E27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/>
                <w:color w:val="FFFFFF"/>
                <w:sz w:val="21"/>
                <w:rtl/>
                <w:cs/>
              </w:rPr>
              <w:t>שעות משוערות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1</w:t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מבוא לתיווך במקרקעין וחוק המתווכים במקרקעין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חוק המתווכים במקרקעין, תשנ"ו-1996 ותקנותיו</w:t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3.5</w:t>
            </w:r>
          </w:p>
        </w:tc>
      </w:tr>
      <w:tr>
        <w:tc>
          <w:tcPr>
            <w:tcW w:type="dxa" w:w="907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</w:t>
            </w:r>
          </w:p>
        </w:tc>
        <w:tc>
          <w:tcPr>
            <w:tcW w:type="dxa" w:w="3685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דיני חוזים</w:t>
            </w:r>
          </w:p>
        </w:tc>
        <w:tc>
          <w:tcPr>
            <w:tcW w:type="dxa" w:w="3402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חוק החוזים (חלק כללי), חוק התרופות וחוק החוזים האחידים</w:t>
            </w:r>
          </w:p>
        </w:tc>
        <w:tc>
          <w:tcPr>
            <w:tcW w:type="dxa" w:w="1361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3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3</w:t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דיני מקרקעין - זכויות, רישום ועקרונות יסוד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חוק המקרקעין, מערכת הרישום וזכויות במקרקעין</w:t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3</w:t>
            </w:r>
          </w:p>
        </w:tc>
      </w:tr>
      <w:tr>
        <w:tc>
          <w:tcPr>
            <w:tcW w:type="dxa" w:w="907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4</w:t>
            </w:r>
          </w:p>
        </w:tc>
        <w:tc>
          <w:tcPr>
            <w:tcW w:type="dxa" w:w="3685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בתים משותפים ורכוש משותף</w:t>
            </w:r>
          </w:p>
        </w:tc>
        <w:tc>
          <w:tcPr>
            <w:tcW w:type="dxa" w:w="3402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רכוש משותף, הצמדות ותקנון הבית המשותף</w:t>
            </w:r>
          </w:p>
        </w:tc>
        <w:tc>
          <w:tcPr>
            <w:tcW w:type="dxa" w:w="1361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2.5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5</w:t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רשות מקרקעי ישראל (רמ"י)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חוזי פיתוח וחכירה, דמי הסכמה, היוון והיתר</w:t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2.5</w:t>
            </w:r>
          </w:p>
        </w:tc>
      </w:tr>
      <w:tr>
        <w:tc>
          <w:tcPr>
            <w:tcW w:type="dxa" w:w="907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6</w:t>
            </w:r>
          </w:p>
        </w:tc>
        <w:tc>
          <w:tcPr>
            <w:tcW w:type="dxa" w:w="3685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תכנון ובניה</w:t>
            </w:r>
          </w:p>
        </w:tc>
        <w:tc>
          <w:tcPr>
            <w:tcW w:type="dxa" w:w="3402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מוסדות תכנון, היררכיית תכניות והיתרי בניה</w:t>
            </w:r>
          </w:p>
        </w:tc>
        <w:tc>
          <w:tcPr>
            <w:tcW w:type="dxa" w:w="1361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2.5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7</w:t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מיסוי מקרקעין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חוק מיסוי מקרקעין (שבח ורכישה), תשכ"ג-1963</w:t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2.5</w:t>
            </w:r>
          </w:p>
        </w:tc>
      </w:tr>
      <w:tr>
        <w:tc>
          <w:tcPr>
            <w:tcW w:type="dxa" w:w="907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8</w:t>
            </w:r>
          </w:p>
        </w:tc>
        <w:tc>
          <w:tcPr>
            <w:tcW w:type="dxa" w:w="3685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מכר דירות, הבטחת השקעות והגנת הצרכן</w:t>
            </w:r>
          </w:p>
        </w:tc>
        <w:tc>
          <w:tcPr>
            <w:tcW w:type="dxa" w:w="3402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חוק המכר (דירות) וחוק הבטחת השקעות רוכשי דירות</w:t>
            </w:r>
          </w:p>
        </w:tc>
        <w:tc>
          <w:tcPr>
            <w:tcW w:type="dxa" w:w="1361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9</w:t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ירושה, הוצאה לפועל, הגנת הדייר ורישוי עסקים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דיני ירושה ומכירת נכסי עיזבון</w:t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2.5</w:t>
            </w:r>
          </w:p>
        </w:tc>
      </w:tr>
      <w:tr>
        <w:tc>
          <w:tcPr>
            <w:tcW w:type="dxa" w:w="907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10</w:t>
            </w:r>
          </w:p>
        </w:tc>
        <w:tc>
          <w:tcPr>
            <w:tcW w:type="dxa" w:w="3685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עיקרי פסיקה, סיכום קורס וקישורים לבחינה</w:t>
            </w:r>
          </w:p>
        </w:tc>
        <w:tc>
          <w:tcPr>
            <w:tcW w:type="dxa" w:w="3402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פסקי דין מרכזיים בתחום התיווך</w:t>
            </w:r>
          </w:p>
        </w:tc>
        <w:tc>
          <w:tcPr>
            <w:tcW w:type="dxa" w:w="1361"/>
            <w:shd w:val="clear" w:fill="F1F4FB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3</w:t>
            </w:r>
          </w:p>
        </w:tc>
      </w:tr>
      <w:tr>
        <w:tc>
          <w:tcPr>
            <w:tcW w:type="dxa" w:w="907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</w:r>
          </w:p>
        </w:tc>
        <w:tc>
          <w:tcPr>
            <w:tcW w:type="dxa" w:w="3685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סה"כ</w:t>
            </w:r>
          </w:p>
        </w:tc>
        <w:tc>
          <w:tcPr>
            <w:tcW w:type="dxa" w:w="3402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</w:r>
          </w:p>
        </w:tc>
        <w:tc>
          <w:tcPr>
            <w:tcW w:type="dxa" w:w="1361"/>
          </w:tcPr>
          <w:p>
            <w:pPr>
              <w:jc w:val="left"/>
              <w:bidi/>
            </w:pPr>
            <w:r/>
            <w:r>
              <w:rPr>
                <w:rFonts w:ascii="Arial" w:hAnsi="Arial"/>
                <w:b w:val="0"/>
                <w:color w:val="262B40"/>
                <w:sz w:val="21"/>
                <w:rtl/>
                <w:cs/>
              </w:rPr>
              <w:t>27</w:t>
            </w:r>
          </w:p>
        </w:tc>
      </w:tr>
    </w:tbl>
    <w:p>
      <w:r>
        <w:br w:type="page"/>
      </w:r>
    </w:p>
    <w:p>
      <w:pPr>
        <w:spacing w:before="280" w:after="160"/>
        <w:jc w:val="left"/>
        <w:keepNext/>
        <w:bidi/>
        <w:pBdr>
          <w:bottom w:val="single" w:sz="8" w:space="4" w:color="1E2761"/>
        </w:pBdr>
      </w:pPr>
      <w:r>
        <w:rPr>
          <w:rFonts w:ascii="Arial" w:hAnsi="Arial"/>
          <w:b/>
          <w:color w:val="1E2761"/>
          <w:sz w:val="44"/>
          <w:rtl/>
          <w:cs/>
        </w:rPr>
        <w:t>3. פירוט המודולים</w:t>
      </w: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1: מבוא לתיווך במקרקעין וחוק המתווכים במקרקעין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המתווכים במקרקעין, תשנ"ו-1996 ותקנותיו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חובות המתווך, הסכם תיווך, בלעדיות ודמי תיווך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הגדרת 'תיווך במקרקעין' לפי החוק ואת תפקיד המתווך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תנאי הזיכאות לרישיון תיווך ואת ההליך לקבלתו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חובות הגילוי והנאמנות המוטלות על מתווך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התנאים לזכאות לדמי תיווך ואת מנגנון הבלעדיות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מערך הפיקוח והמשמעת על מתווכים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מהו תיווך במקרקעין?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תנאים לקבלת רישיון תיווך (סעיף 5 לחוק)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חובות וגילוי נאות של המתווך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הסכם תיווך - הזמנה בכתב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בלעדיות בתיווך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דמי תיווך - מתי המתווך זכאי?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תקנות פעולות שיווק, תשס"ה-2004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איסורים ועבירות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ועדת המשמעת ופיקוח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תיווך במקרקעין; הגורם היעיל; הזמנה בכתב; בלעדיות; רשם המתווכים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01_מבוא_וחוק_המתווכים.pptx   |   שעות לימוד משוערות: 3.5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2: דיני חוזים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החוזים (חלק כללי), חוק התרופות וחוק החוזים האחידים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כריתת חוזה, פגמים, זיכרון דברים והפרת חוזה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יסודות כריתת חוזה: הצעה, קיבול, גמירות דעת ומסוימות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פגמים בכריתת חוזה ועילות לביטולו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ההבדל בין חוזה לבין זיכרון דברים ואת מעמדו המשפטי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התרופות העומדות לצד הנפגע מהפרת חוזה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עקרונות בחוזים אחידים וברלוונטיות שלהם לתיווך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כריתת חוזה - הצעה וקיבול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כשרות ופגמים בכריתת חוזה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תנאים בחוזה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זיכרון דברים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הפרת חוזה ותרופות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חוזים אחידים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חוזה מכר וחוזה שכירות מקרקעין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גמירות דעת; מסוימות; תנאי מתלה / מפסיק; פיצויים מוסכמים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02_דיני_חוזים.pptx   |   שעות לימוד משוערות: 3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3: דיני מקרקעין - זכויות, רישום ועקרונות יסוד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המקרקעין, מערכת הרישום וזכויות במקרקעין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בעלות משותפת, משכנתא, הערת אזהרה ודיירות מוגנת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מערכת רישום המקרקעין בישראל ואת מסמכי הרישום המרכזיים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להבחין בין מקרקעין מוסדרים לבין מקרקעין לא-מוסדרים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סוגי הזכויות העיקריים במקרקעין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מהי בעלות משותפת (במושע) ופירוק שיתוף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מנגנון הערת האזהרה ואת חוק הגנת הדייר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מערכת רישום המקרקעין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מקרקעין מוסדרים ולא-מוסדרים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זכויות במקרקעין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בעלות משותפת ופירוק שיתוף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משכון, משכנתא והערת אזהרה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דיירות מוגנת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מקרקעי ישראל - יסודות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נסח טאבו; בעלות במושע; הערת אזהרה; דייר מוגן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03_דיני_מקרקעין.pptx   |   שעות לימוד משוערות: 3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4: בתים משותפים ורכוש משותף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רכוש משותף, הצמדות ותקנון הבית המשותף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נציגות הבית וחיזוק מבנים מפני רעידות אדמה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מהות רישומו של בית כ'בית משותף'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מושג הרכוש המשותף ואת מנגנון ההצמדות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להבחין בין תקנון מצוי לתקנון מוסכם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סמכויות נציגות הבית המשותף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עקרונות תמ"א 38 וחיזוק מבנים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מהו בית משותף?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רכוש משותף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הצמדות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תקנון הבית המשותף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נציגות הבית המשותף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תמ"א 38 וחיזוק בתים משותפים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רכוש משותף; הצמדה; תקנון מצוי / מוסכם; תמ"א 38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04_בתים_משותפים.pptx   |   שעות לימוד משוערות: 2.5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5: רשות מקרקעי ישראל (רמ"י)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חוזי פיתוח וחכירה, דמי הסכמה, היוון והיתר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זכויות ביישובים חקלאיים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מהות מקרקעי ישראל ואת תפקיד רמ"י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ההבדל בין חוזה פיתוח לחוזה חכירה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מנגנוני דמי ההסכמה, ההיוון וההיתר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עקרונות הזכויות ביישובים חקלאיים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מקרקעי ישראל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חוזה פיתוח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חוזה חכירה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דמי הסכמה, היוון והיתר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העברת זכויות וזכויות חקלאיות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רמ"י; חכירה מהוונת; דמי הסכמה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05_מינהל_מקרקעי_ישראל.pptx   |   שעות לימוד משוערות: 2.5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6: תכנון ובניה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מוסדות תכנון, היררכיית תכניות והיתרי בניה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הפקעה והיטל השבחה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מוסדות התכנון והבניה ואת תפקידיהם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היררכיית התכניות החלות על נכס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עקרונות תמ"א 38 ואת מושגי ה"הקלה" וה"שימוש החורג"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עקרונות ההפקעה והיטל ההשבחה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מוסדות התכנון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היררכיית תכניות בניה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תמ"א 38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היתרי בניה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זכויות בניה ושינוי ייעוד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הפקעה והיטל השבחה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תמ"א; הקלה; טופס 4; היטל השבחה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06_תכנון_ובניה.pptx   |   שעות לימוד משוערות: 2.5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7: מיסוי מקרקעין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מיסוי מקרקעין (שבח ורכישה), תשכ"ג-1963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מס שבח, מס רכישה ומע"מ בעסקאות מקרקעין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מבנה חוק מיסוי 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עקרונות מס השבח והפטורים המרכזיים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עקרונות מס הרכישה ומדרגותיו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תחולת המע"מ בעסקאות מקרקעין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מבנה חוק מיסוי 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מס שבח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מס רכישה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מע"מ בעסקאות 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מיסוי בעסקאות מיוחדות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שבח; דירת מגורים מזכה; מדרגות מס רכישה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07_מיסוי_מקרקעין.pptx   |   שעות לימוד משוערות: 2.5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8: מכר דירות, הבטחת השקעות והגנת הצרכן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המכר (דירות) וחוק הבטחת השקעות רוכשי דירות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חוק הגנת הצרכן בעסקאות מקרקעין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חוק המכר (דירות) ואת אחריות המוכר/הקבלן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חשיבות המפרט הטכני בעסקת מכר דירה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מנגנוני הבטחת השקעות רוכשי דירות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ההיבטים הצרכניים הרלוונטיים לתיווך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חוק המכר (דירות)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מפרט הדירה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הבטחת השקעות רוכשי דירות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חוק הגנת הצרכן ותקנותיו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תקופת בדק; הבטחת השקעות; מפרט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08_מכר_דירות_והגנת_הצרכן.pptx   |   שעות לימוד משוערות: 2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9: ירושה, הוצאה לפועל, הגנת הדייר ורישוי עסקים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דיני ירושה ומכירת נכסי עיזבון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כינוס נכסים, רישוי עסקים ושמאות מקרקעין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עקרונות דיני הירושה הרלוונטיים למקרקעין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להבין את הליך כינוס הנכסים בהוצאה לפועל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חוק רישוי עסקים וחוק שמאי מקרקעין כרלוונטיים לתיווך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עבירות רלוונטיות בחוק העונשין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דיני ירושה ומקרקעין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מכירת נכסי עיזבון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הוצאה לפועל וכינוס נכסים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חוק הגנת הדייר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רישוי עסקים ושמאות מקרקעין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עבירות רלוונטיות בחוק העונשין</w:t>
      </w:r>
    </w:p>
    <w:p>
      <w:pPr>
        <w:spacing w:after="120" w:before="12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מונחי מפתח: מנהל עיזבון; כונס נכסים; הפרת אמונים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09_ירושה_הוצלפ_ורישוי.pptx   |   שעות לימוד משוערות: 2.5</w:t>
      </w:r>
    </w:p>
    <w:p>
      <w:pPr>
        <w:pBdr>
          <w:bottom w:val="single" w:sz="6" w:space="1" w:color="C9A227"/>
        </w:pBdr>
      </w:pPr>
    </w:p>
    <w:p>
      <w:pPr>
        <w:spacing w:before="280" w:after="160"/>
        <w:jc w:val="left"/>
        <w:keepNext/>
        <w:bidi/>
      </w:pPr>
      <w:r>
        <w:rPr>
          <w:rFonts w:ascii="Arial" w:hAnsi="Arial"/>
          <w:b/>
          <w:color w:val="1E2761"/>
          <w:sz w:val="34"/>
          <w:rtl/>
          <w:cs/>
        </w:rPr>
        <w:t>מודול 10: עיקרי פסיקה, סיכום קורס וקישורים לבחינה</w:t>
      </w:r>
    </w:p>
    <w:p>
      <w:pPr>
        <w:spacing w:after="40" w:before="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מקורות חוק: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פסקי דין מרכזיים בתחום התיווך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מפת נושאים, טיפים להיבחנות וקישורים רשמיים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מטרות למידה: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פסיקה מרכזית בנושאי דמי תיווך, בלעדיות ונאמנות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לזהות טעויות נפוצות שיש להימנע מהן בעבודת התיווך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לסכם את מפת הנושאים לקראת הבחינה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262B40"/>
          <w:sz w:val="22"/>
          <w:rtl/>
          <w:cs/>
        </w:rPr>
        <w:t>●  להכיר את הקישורים הרשמיים להרשמה, לתשלום האגרה ולמבחנים לדוגמה</w:t>
      </w:r>
    </w:p>
    <w:p>
      <w:pPr>
        <w:spacing w:after="40" w:before="120"/>
        <w:jc w:val="left"/>
        <w:bidi/>
      </w:pPr>
      <w:r>
        <w:rPr>
          <w:rFonts w:ascii="Arial" w:hAnsi="Arial"/>
          <w:b/>
          <w:i w:val="0"/>
          <w:color w:val="1E2761"/>
          <w:sz w:val="22"/>
          <w:rtl/>
          <w:cs/>
        </w:rPr>
        <w:t>נושאים במצגת: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פסיקה - "הגורם היעיל"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פסיקה - חשיבות מסמך ההזמנה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פסיקה - בלעדיות ונאמנות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פסיקה - הטעיה ומצג שווא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טעויות נפוצות שיש להימנע מהן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מפת נושאים לקראת הבחינה</w:t>
      </w:r>
    </w:p>
    <w:p>
      <w:pPr>
        <w:spacing w:after="100"/>
        <w:ind w:right="510" w:hanging="510"/>
        <w:jc w:val="left"/>
        <w:bidi/>
      </w:pPr>
      <w:r>
        <w:rPr>
          <w:rFonts w:ascii="Arial" w:hAnsi="Arial"/>
          <w:b w:val="0"/>
          <w:color w:val="5B637B"/>
          <w:sz w:val="21"/>
          <w:rtl/>
          <w:cs/>
        </w:rPr>
        <w:t>●  טיפים להיבחנות</w:t>
      </w:r>
    </w:p>
    <w:p>
      <w:pPr>
        <w:spacing w:after="40" w:before="80"/>
        <w:jc w:val="left"/>
        <w:bidi/>
      </w:pPr>
      <w:r>
        <w:rPr>
          <w:rFonts w:ascii="Arial" w:hAnsi="Arial"/>
          <w:b w:val="0"/>
          <w:i w:val="0"/>
          <w:color w:val="9C7A12"/>
          <w:sz w:val="20"/>
          <w:rtl/>
          <w:cs/>
        </w:rPr>
        <w:t>קובץ מצגת: 10_פסיקה_וסיכום.pptx   |   שעות לימוד משוערות: 3</w:t>
      </w:r>
    </w:p>
    <w:p>
      <w:pPr>
        <w:pBdr>
          <w:bottom w:val="single" w:sz="6" w:space="1" w:color="C9A227"/>
        </w:pBdr>
      </w:pPr>
    </w:p>
    <w:p>
      <w:r>
        <w:br w:type="page"/>
      </w:r>
    </w:p>
    <w:p>
      <w:pPr>
        <w:spacing w:before="280" w:after="160"/>
        <w:jc w:val="left"/>
        <w:keepNext/>
        <w:bidi/>
        <w:pBdr>
          <w:bottom w:val="single" w:sz="8" w:space="4" w:color="1E2761"/>
        </w:pBdr>
      </w:pPr>
      <w:r>
        <w:rPr>
          <w:rFonts w:ascii="Arial" w:hAnsi="Arial"/>
          <w:b/>
          <w:color w:val="1E2761"/>
          <w:sz w:val="44"/>
          <w:rtl/>
          <w:cs/>
        </w:rPr>
        <w:t>נספח א': קישורים רשמיים - הרשמה, תשלום אגרה ובחינות משנים קודמות</w:t>
      </w:r>
    </w:p>
    <w:p>
      <w:pPr>
        <w:spacing w:after="200" w:before="0"/>
        <w:jc w:val="left"/>
        <w:bidi/>
      </w:pPr>
      <w:r>
        <w:rPr>
          <w:rFonts w:ascii="Arial" w:hAnsi="Arial"/>
          <w:b w:val="0"/>
          <w:i w:val="0"/>
          <w:color w:val="5B637B"/>
          <w:sz w:val="21"/>
          <w:rtl/>
          <w:cs/>
        </w:rPr>
        <w:t>כל הקישורים הבאים מובילים לאתרים רשמיים (gov.il ו-reba.org.il) בלבד. מסמך זה אינו כולל מבחנים רשמיים מפוברקים - בחינות אמיתיות משנים קודמות ניתן למצוא רק באתרים הרשמיים המקושרים להלן.</w:t>
      </w:r>
    </w:p>
    <w:p>
      <w:pPr>
        <w:spacing w:after="40"/>
        <w:jc w:val="right"/>
        <w:bidi/>
      </w:pPr>
      <w:r>
        <w:rPr>
          <w:rFonts w:ascii="Arial" w:hAnsi="Arial"/>
          <w:b/>
          <w:color w:val="1E2761"/>
          <w:sz w:val="24"/>
          <w:rtl/>
          <w:cs/>
        </w:rPr>
        <w:t>הרשמה לבחינה בדיני מתווכים במקרקעין ותשלום אגרה</w:t>
      </w:r>
    </w:p>
    <w:p>
      <w:pPr>
        <w:spacing w:after="40"/>
        <w:jc w:val="right"/>
        <w:bidi/>
      </w:pPr>
      <w:hyperlink r:id="rId11">
        <w:r>
          <w:rPr>
            <w:rFonts w:ascii="Arial" w:cs="Arial"/>
            <w:color w:val="0563C1"/>
            <w:u w:val="single"/>
            <w:sz w:val="21"/>
            <w:rtl/>
          </w:rPr>
          <w:t xml:space="preserve">https://www.gov.il/he/service/registration_for_examination_in_real_estat…</w:t>
        </w:r>
      </w:hyperlink>
    </w:p>
    <w:p>
      <w:pPr>
        <w:spacing w:after="240" w:before="0"/>
        <w:jc w:val="left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שירות רשמי של האגף לאסדרת מקצועות, משרד המשפטים (gov.il) - רישום ותשלום אגרת הבחינה</w:t>
      </w:r>
    </w:p>
    <w:p>
      <w:pPr>
        <w:spacing w:after="40"/>
        <w:jc w:val="right"/>
        <w:bidi/>
      </w:pPr>
      <w:r>
        <w:rPr>
          <w:rFonts w:ascii="Arial" w:hAnsi="Arial"/>
          <w:b/>
          <w:color w:val="1E2761"/>
          <w:sz w:val="24"/>
          <w:rtl/>
          <w:cs/>
        </w:rPr>
        <w:t>חומר לימוד רשמי לבחינה</w:t>
      </w:r>
    </w:p>
    <w:p>
      <w:pPr>
        <w:spacing w:after="40"/>
        <w:jc w:val="right"/>
        <w:bidi/>
      </w:pPr>
      <w:hyperlink r:id="rId12">
        <w:r>
          <w:rPr>
            <w:rFonts w:ascii="Arial" w:cs="Arial"/>
            <w:color w:val="0563C1"/>
            <w:u w:val="single"/>
            <w:sz w:val="21"/>
            <w:rtl/>
          </w:rPr>
          <w:t xml:space="preserve">https://www.gov.il/he/pages/studymaterial</w:t>
        </w:r>
      </w:hyperlink>
    </w:p>
    <w:p>
      <w:pPr>
        <w:spacing w:after="240" w:before="0"/>
        <w:jc w:val="left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רשימת חיקוקים ועקרונות יסוד רשמית, כבסיס לחזרה לפני הבחינה</w:t>
      </w:r>
    </w:p>
    <w:p>
      <w:pPr>
        <w:spacing w:after="40"/>
        <w:jc w:val="right"/>
        <w:bidi/>
      </w:pPr>
      <w:r>
        <w:rPr>
          <w:rFonts w:ascii="Arial" w:hAnsi="Arial"/>
          <w:b/>
          <w:color w:val="1E2761"/>
          <w:sz w:val="24"/>
          <w:rtl/>
          <w:cs/>
        </w:rPr>
        <w:t>תקנות המתווכים במקרקעין (נושאי בחינה), תשנ"ז-1997</w:t>
      </w:r>
    </w:p>
    <w:p>
      <w:pPr>
        <w:spacing w:after="40"/>
        <w:jc w:val="right"/>
        <w:bidi/>
      </w:pPr>
      <w:hyperlink r:id="rId13">
        <w:r>
          <w:rPr>
            <w:rFonts w:ascii="Arial" w:cs="Arial"/>
            <w:color w:val="0563C1"/>
            <w:u w:val="single"/>
            <w:sz w:val="21"/>
            <w:rtl/>
          </w:rPr>
          <w:t xml:space="preserve">https://he.wikisource.org/wiki/תקנות_המתווכים_במקרקעין_(נושאי_בחינה)</w:t>
        </w:r>
      </w:hyperlink>
    </w:p>
    <w:p>
      <w:pPr>
        <w:spacing w:after="240" w:before="0"/>
        <w:jc w:val="left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הנוסח המלא והרשמי של תקנון נושאי הבחינה, כפי שמתעדכן מעת לעת</w:t>
      </w:r>
    </w:p>
    <w:p>
      <w:pPr>
        <w:spacing w:after="40"/>
        <w:jc w:val="right"/>
        <w:bidi/>
      </w:pPr>
      <w:r>
        <w:rPr>
          <w:rFonts w:ascii="Arial" w:hAnsi="Arial"/>
          <w:b/>
          <w:color w:val="1E2761"/>
          <w:sz w:val="24"/>
          <w:rtl/>
          <w:cs/>
        </w:rPr>
        <w:t>מאגר מבחני תיווך לדוגמה משנים קודמות</w:t>
      </w:r>
    </w:p>
    <w:p>
      <w:pPr>
        <w:spacing w:after="40"/>
        <w:jc w:val="right"/>
        <w:bidi/>
      </w:pPr>
      <w:hyperlink r:id="rId14">
        <w:r>
          <w:rPr>
            <w:rFonts w:ascii="Arial" w:cs="Arial"/>
            <w:color w:val="0563C1"/>
            <w:u w:val="single"/>
            <w:sz w:val="21"/>
            <w:rtl/>
          </w:rPr>
          <w:t xml:space="preserve">https://www.reba.org.il/sections/מבחנים-לדוגמא-רשם-המתווכים--הכנה-למבחן-…</w:t>
        </w:r>
      </w:hyperlink>
    </w:p>
    <w:p>
      <w:pPr>
        <w:spacing w:after="240" w:before="0"/>
        <w:jc w:val="left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איגוד המתווכים בישראל (reba.org.il) - מבחנים רשמיים אמיתיים משנים עברו, להורדה</w:t>
      </w:r>
    </w:p>
    <w:p>
      <w:pPr>
        <w:spacing w:after="40"/>
        <w:jc w:val="right"/>
        <w:bidi/>
      </w:pPr>
      <w:r>
        <w:rPr>
          <w:rFonts w:ascii="Arial" w:hAnsi="Arial"/>
          <w:b/>
          <w:color w:val="1E2761"/>
          <w:sz w:val="24"/>
          <w:rtl/>
          <w:cs/>
        </w:rPr>
        <w:t>עמוד הבחינות הרשמי של רשם המתווכים</w:t>
      </w:r>
    </w:p>
    <w:p>
      <w:pPr>
        <w:spacing w:after="40"/>
        <w:jc w:val="right"/>
        <w:bidi/>
      </w:pPr>
      <w:hyperlink r:id="rId15">
        <w:r>
          <w:rPr>
            <w:rFonts w:ascii="Arial" w:cs="Arial"/>
            <w:color w:val="0563C1"/>
            <w:u w:val="single"/>
            <w:sz w:val="21"/>
            <w:rtl/>
          </w:rPr>
          <w:t xml:space="preserve">https://www.gov.il/he/departments/topics/mediators_exams/govil-landing-p…</w:t>
        </w:r>
      </w:hyperlink>
    </w:p>
    <w:p>
      <w:pPr>
        <w:spacing w:after="240" w:before="0"/>
        <w:jc w:val="left"/>
        <w:bidi/>
      </w:pPr>
      <w:r>
        <w:rPr>
          <w:rFonts w:ascii="Arial" w:hAnsi="Arial"/>
          <w:b w:val="0"/>
          <w:i w:val="0"/>
          <w:color w:val="5B637B"/>
          <w:sz w:val="20"/>
          <w:rtl/>
          <w:cs/>
        </w:rPr>
        <w:t>מועדי בחינות, נהלים ועדכונים רשמיים מאתר gov.il</w:t>
      </w:r>
    </w:p>
    <w:p>
      <w:pPr>
        <w:pBdr>
          <w:bottom w:val="single" w:sz="6" w:space="1" w:color="C9A227"/>
        </w:pBdr>
      </w:pPr>
    </w:p>
    <w:p>
      <w:pPr>
        <w:spacing w:after="120" w:before="0"/>
        <w:jc w:val="left"/>
        <w:bidi/>
      </w:pPr>
      <w:r>
        <w:rPr>
          <w:rFonts w:ascii="Arial" w:hAnsi="Arial"/>
          <w:b w:val="0"/>
          <w:i/>
          <w:color w:val="5B637B"/>
          <w:sz w:val="19"/>
          <w:rtl/>
          <w:cs/>
        </w:rPr>
        <w:t>הערה: קישורים אלה הם הקישורים הרשמיים הידועים בעת הפקת מסמך זה (יוני 2026). אתרי הממשלה והאיגוד עשויים לעדכן כתובות מעת לעת - אם קישור אינו פעיל, חפשו את העמוד המעודכן באתר gov.il תחת 'רשם המתווכים במקרקעין', או באתר איגוד המתווכים reba.org.il.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  <w:bidi/>
      <w:pBdr>
        <w:top w:val="single" w:sz="6" w:space="4" w:color="C9A227"/>
      </w:pBdr>
    </w:pPr>
    <w:r>
      <w:rPr>
        <w:rFonts w:ascii="Arial" w:hAnsi="Arial"/>
        <w:color w:val="5B637B"/>
        <w:sz w:val="18"/>
        <w:rtl/>
        <w:cs/>
      </w:rPr>
      <w:t xml:space="preserve">עמוד </w:t>
    </w:r>
    <w:r>
      <w:rPr>
        <w:rtl/>
        <w:cs/>
      </w:rPr>
    </w:r>
    <w:r>
      <w:rPr>
        <w:rtl/>
      </w:rPr>
      <w:fldChar w:fldCharType="begin"/>
    </w:r>
    <w:r>
      <w:rPr>
        <w:rtl/>
      </w:rPr>
      <w:instrText xml:space="preserve"> PAGE </w:instrText>
    </w:r>
    <w:r>
      <w:rPr>
        <w:rtl/>
      </w:rPr>
      <w:fldChar w:fldCharType="separate"/>
    </w:r>
    <w:r>
      <w:rPr>
        <w:rtl/>
      </w:rPr>
      <w:t>1</w:t>
    </w:r>
    <w:r>
      <w:rPr>
        <w:rtl/>
      </w:rPr>
      <w:fldChar w:fldCharType="end"/>
    </w:r>
    <w:r>
      <w:rPr>
        <w:rFonts w:ascii="Arial" w:hAnsi="Arial"/>
        <w:color w:val="5B637B"/>
        <w:sz w:val="18"/>
        <w:rtl/>
        <w:cs/>
      </w:rPr>
      <w:t xml:space="preserve"> מתוך </w:t>
    </w:r>
    <w:r>
      <w:rPr>
        <w:rtl/>
        <w:cs/>
      </w:rPr>
    </w:r>
    <w:r>
      <w:rPr>
        <w:rtl/>
      </w:rPr>
      <w:fldChar w:fldCharType="begin"/>
    </w:r>
    <w:r>
      <w:rPr>
        <w:rtl/>
      </w:rPr>
      <w:instrText xml:space="preserve"> NUMPAGES </w:instrText>
    </w:r>
    <w:r>
      <w:rPr>
        <w:rtl/>
      </w:rPr>
      <w:fldChar w:fldCharType="separate"/>
    </w:r>
    <w:r>
      <w:rPr>
        <w:rtl/>
      </w:rPr>
      <w:t>1</w:t>
    </w:r>
    <w:r>
      <w:rPr>
        <w:rtl/>
      </w:rPr>
      <w:fldChar w:fldCharType="end"/>
    </w:r>
    <w:r>
      <w:rPr>
        <w:rFonts w:ascii="Arial" w:hAnsi="Arial"/>
        <w:i/>
        <w:color w:val="5B637B"/>
        <w:sz w:val="18"/>
        <w:rtl/>
        <w:cs/>
      </w:rPr>
      <w:t xml:space="preserve">   |   סילבוס קורס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bidi/>
    </w:pPr>
    <w:r>
      <w:drawing>
        <wp:inline xmlns:a="http://schemas.openxmlformats.org/drawingml/2006/main" xmlns:pic="http://schemas.openxmlformats.org/drawingml/2006/picture">
          <wp:extent cx="1667586" cy="55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7586" cy="5580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80"/>
      <w:jc w:val="left"/>
      <w:bidi/>
      <w:pBdr>
        <w:bottom w:val="single" w:sz="6" w:space="4" w:color="C9A227"/>
      </w:pBdr>
    </w:pPr>
    <w:r>
      <w:rPr>
        <w:rFonts w:ascii="Arial" w:hAnsi="Arial"/>
        <w:i/>
        <w:color w:val="5B637B"/>
        <w:sz w:val="19"/>
        <w:rtl/>
        <w:cs/>
      </w:rPr>
      <w:t>קורס הכנה לבחינת רישוי מתווכי מקרקעין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ov.il/he/service/registration_for_examination_in_real_estate_law_new" TargetMode="External"/><Relationship Id="rId12" Type="http://schemas.openxmlformats.org/officeDocument/2006/relationships/hyperlink" Target="https://www.gov.il/he/pages/studymaterial" TargetMode="External"/><Relationship Id="rId13" Type="http://schemas.openxmlformats.org/officeDocument/2006/relationships/hyperlink" Target="https://he.wikisource.org/wiki/%D7%AA%D7%A7%D7%A0%D7%95%D7%AA_%D7%94%D7%9E%D7%AA%D7%95%D7%95%D7%9B%D7%99%D7%9D_%D7%91%D7%9E%D7%A7%D7%A8%D7%A7%D7%A2%D7%99%D7%9F_(%D7%A0%D7%95%D7%A9%D7%90%D7%99_%D7%91%D7%97%D7%99%D7%A0%D7%94)" TargetMode="External"/><Relationship Id="rId14" Type="http://schemas.openxmlformats.org/officeDocument/2006/relationships/hyperlink" Target="https://www.reba.org.il/sections/%D7%9E%D7%91%D7%97%D7%A0%D7%99%D7%9D-%D7%9C%D7%93%D7%95%D7%92%D7%9E%D7%90-%D7%A8%D7%A9%D7%9D-%D7%94%D7%9E%D7%AA%D7%95%D7%95%D7%9B%D7%99%D7%9D--%D7%94%D7%9B%D7%A0%D7%94-%D7%9C%D7%9E%D7%91%D7%97%D7%9F-%D7%AA%D7%99%D7%95%D7%95%D7%9A-%D7%91%D7%97%D7%99%D7%A0%D7%95%D7%AA-%D7%9C%D7%94%D7%95%D7%A8%D7%93%D7%94/" TargetMode="External"/><Relationship Id="rId15" Type="http://schemas.openxmlformats.org/officeDocument/2006/relationships/hyperlink" Target="https://www.gov.il/he/departments/topics/mediators_exams/govil-landing-pag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